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F7" w:rsidRPr="007825B4" w:rsidRDefault="005C40F7" w:rsidP="005C40F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82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соответствии с приказом министерства общего и профессионального образования Ростовской области № 32 от </w:t>
      </w:r>
      <w:r w:rsidRPr="00782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29.01.2014 «О проведении </w:t>
      </w:r>
      <w:r w:rsidRPr="007825B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мониторинга социально-психологических показателей здоровья обучающихся </w:t>
      </w:r>
      <w:proofErr w:type="spellStart"/>
      <w:r w:rsidRPr="007825B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пилотных</w:t>
      </w:r>
      <w:proofErr w:type="spellEnd"/>
      <w:r w:rsidRPr="007825B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школ области». </w:t>
      </w:r>
      <w:proofErr w:type="gramStart"/>
      <w:r w:rsidRPr="007825B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Всем </w:t>
      </w:r>
      <w:r w:rsidRPr="00782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школам, вошедшим в </w:t>
      </w:r>
      <w:proofErr w:type="spellStart"/>
      <w:r w:rsidRPr="00782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пилотные</w:t>
      </w:r>
      <w:proofErr w:type="spellEnd"/>
      <w:r w:rsidRPr="00782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проект предложены</w:t>
      </w:r>
      <w:proofErr w:type="gramEnd"/>
      <w:r w:rsidRPr="00782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методики, и  тесты</w:t>
      </w:r>
      <w:r w:rsidRPr="00782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социально-психологического мониторинга, которые утверждены на заседании Экспертного совета </w:t>
      </w:r>
      <w:r w:rsidRPr="00782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министерства общего и профессионального образования Ростовской области</w:t>
      </w:r>
      <w:r w:rsidRPr="00782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отвечают</w:t>
      </w:r>
      <w:r w:rsidRPr="00782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целевым задачам </w:t>
      </w:r>
      <w:proofErr w:type="spellStart"/>
      <w:r w:rsidRPr="00782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пилотного</w:t>
      </w:r>
      <w:proofErr w:type="spellEnd"/>
      <w:r w:rsidRPr="00782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проекта, позволяя всесторонне и комплексно обеспечить психологическое сопровождение </w:t>
      </w:r>
      <w:proofErr w:type="spellStart"/>
      <w:r w:rsidRPr="00782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здоровьесберегающей</w:t>
      </w:r>
      <w:proofErr w:type="spellEnd"/>
      <w:r w:rsidRPr="00782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деятельности в </w:t>
      </w:r>
      <w:proofErr w:type="spellStart"/>
      <w:r w:rsidRPr="00782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пилотных</w:t>
      </w:r>
      <w:proofErr w:type="spellEnd"/>
      <w:r w:rsidRPr="00782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школах.</w:t>
      </w:r>
    </w:p>
    <w:p w:rsidR="005C40F7" w:rsidRPr="007825B4" w:rsidRDefault="005C40F7" w:rsidP="005C40F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782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состав сессии социально-психологического мониторинга, обязательной для прохождения всеми </w:t>
      </w:r>
      <w:proofErr w:type="spellStart"/>
      <w:r w:rsidRPr="00782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пилотными</w:t>
      </w:r>
      <w:proofErr w:type="spellEnd"/>
      <w:r w:rsidRPr="00782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школами Ростовской области, отобрано 8 тестов, ориентированных </w:t>
      </w:r>
      <w:proofErr w:type="gramStart"/>
      <w:r w:rsidRPr="00782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proofErr w:type="gramEnd"/>
      <w:r w:rsidRPr="00782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обучающихся 7-10-х классов.</w:t>
      </w:r>
    </w:p>
    <w:p w:rsidR="005C40F7" w:rsidRPr="007825B4" w:rsidRDefault="005C40F7" w:rsidP="005C40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Задачей мониторинга </w:t>
      </w:r>
      <w:r w:rsidRPr="00782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анализ эффективности </w:t>
      </w:r>
      <w:proofErr w:type="spellStart"/>
      <w:r w:rsidRPr="007825B4">
        <w:rPr>
          <w:rFonts w:ascii="Times New Roman" w:hAnsi="Times New Roman" w:cs="Times New Roman"/>
          <w:color w:val="000000" w:themeColor="text1"/>
          <w:sz w:val="24"/>
          <w:szCs w:val="24"/>
        </w:rPr>
        <w:t>здоровьеохранной</w:t>
      </w:r>
      <w:proofErr w:type="spellEnd"/>
      <w:r w:rsidRPr="00782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школ по ряду определенных направлений деятельности и </w:t>
      </w:r>
      <w:r w:rsidRPr="00782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выявление факторов школьной среды, пагубно влияющих на показатели здоровья обучающихся с целью корректировки данных условий.</w:t>
      </w:r>
    </w:p>
    <w:p w:rsidR="005C40F7" w:rsidRPr="007825B4" w:rsidRDefault="005C40F7" w:rsidP="005C40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25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«Мониторинг </w:t>
      </w:r>
      <w:r w:rsidRPr="007825B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социально-психологических показателей здоровья»</w:t>
      </w:r>
    </w:p>
    <w:p w:rsidR="005C40F7" w:rsidRPr="007825B4" w:rsidRDefault="005C40F7" w:rsidP="005C40F7">
      <w:pPr>
        <w:pStyle w:val="a3"/>
        <w:ind w:right="-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25B4">
        <w:rPr>
          <w:rFonts w:ascii="Times New Roman" w:hAnsi="Times New Roman"/>
          <w:color w:val="000000" w:themeColor="text1"/>
          <w:sz w:val="24"/>
          <w:szCs w:val="24"/>
        </w:rPr>
        <w:t xml:space="preserve">Методика 2.2.  Квалиметрия особенностей питания; </w:t>
      </w:r>
    </w:p>
    <w:p w:rsidR="005C40F7" w:rsidRPr="007825B4" w:rsidRDefault="005C40F7" w:rsidP="005C40F7">
      <w:pPr>
        <w:pStyle w:val="a3"/>
        <w:ind w:right="-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25B4">
        <w:rPr>
          <w:rFonts w:ascii="Times New Roman" w:hAnsi="Times New Roman"/>
          <w:color w:val="000000" w:themeColor="text1"/>
          <w:sz w:val="24"/>
          <w:szCs w:val="24"/>
        </w:rPr>
        <w:t xml:space="preserve">Методика 2.3.  Квалиметрия организации учебной деятельности; </w:t>
      </w:r>
    </w:p>
    <w:p w:rsidR="005C40F7" w:rsidRPr="007825B4" w:rsidRDefault="005C40F7" w:rsidP="005C40F7">
      <w:pPr>
        <w:pStyle w:val="a3"/>
        <w:ind w:right="-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25B4">
        <w:rPr>
          <w:rFonts w:ascii="Times New Roman" w:hAnsi="Times New Roman"/>
          <w:color w:val="000000" w:themeColor="text1"/>
          <w:sz w:val="24"/>
          <w:szCs w:val="24"/>
        </w:rPr>
        <w:t xml:space="preserve">Методика 2.4.  Квалиметрия организации досуга;  </w:t>
      </w:r>
    </w:p>
    <w:p w:rsidR="005C40F7" w:rsidRPr="007825B4" w:rsidRDefault="005C40F7" w:rsidP="005C40F7">
      <w:pPr>
        <w:pStyle w:val="a3"/>
        <w:ind w:right="-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25B4">
        <w:rPr>
          <w:rFonts w:ascii="Times New Roman" w:hAnsi="Times New Roman"/>
          <w:color w:val="000000" w:themeColor="text1"/>
          <w:sz w:val="24"/>
          <w:szCs w:val="24"/>
        </w:rPr>
        <w:t xml:space="preserve">Методика 2.5.  Квалиметрия организации физической активности; </w:t>
      </w:r>
    </w:p>
    <w:p w:rsidR="005C40F7" w:rsidRPr="007825B4" w:rsidRDefault="005C40F7" w:rsidP="005C40F7">
      <w:pPr>
        <w:pStyle w:val="a3"/>
        <w:ind w:right="-1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825B4">
        <w:rPr>
          <w:rFonts w:ascii="Times New Roman" w:hAnsi="Times New Roman"/>
          <w:color w:val="000000" w:themeColor="text1"/>
          <w:sz w:val="24"/>
          <w:szCs w:val="24"/>
        </w:rPr>
        <w:t xml:space="preserve">Методика 3.1.  </w:t>
      </w:r>
      <w:proofErr w:type="spellStart"/>
      <w:r w:rsidRPr="007825B4">
        <w:rPr>
          <w:rFonts w:ascii="Times New Roman" w:hAnsi="Times New Roman"/>
          <w:color w:val="000000" w:themeColor="text1"/>
          <w:sz w:val="24"/>
          <w:szCs w:val="24"/>
        </w:rPr>
        <w:t>Опросник</w:t>
      </w:r>
      <w:proofErr w:type="spellEnd"/>
      <w:r w:rsidRPr="007825B4">
        <w:rPr>
          <w:rFonts w:ascii="Times New Roman" w:hAnsi="Times New Roman"/>
          <w:color w:val="000000" w:themeColor="text1"/>
          <w:sz w:val="24"/>
          <w:szCs w:val="24"/>
        </w:rPr>
        <w:t xml:space="preserve"> «Отношение к вредным привычкам»; </w:t>
      </w:r>
    </w:p>
    <w:p w:rsidR="005C40F7" w:rsidRPr="007825B4" w:rsidRDefault="005C40F7" w:rsidP="005C40F7">
      <w:pPr>
        <w:pStyle w:val="a3"/>
        <w:ind w:right="-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25B4">
        <w:rPr>
          <w:rFonts w:ascii="Times New Roman" w:hAnsi="Times New Roman"/>
          <w:color w:val="000000" w:themeColor="text1"/>
          <w:sz w:val="24"/>
          <w:szCs w:val="24"/>
        </w:rPr>
        <w:t xml:space="preserve">Методика 5.1. Тест </w:t>
      </w:r>
      <w:proofErr w:type="spellStart"/>
      <w:r w:rsidRPr="007825B4">
        <w:rPr>
          <w:rFonts w:ascii="Times New Roman" w:hAnsi="Times New Roman"/>
          <w:color w:val="000000" w:themeColor="text1"/>
          <w:sz w:val="24"/>
          <w:szCs w:val="24"/>
        </w:rPr>
        <w:t>Айзенка</w:t>
      </w:r>
      <w:proofErr w:type="spellEnd"/>
      <w:r w:rsidRPr="007825B4">
        <w:rPr>
          <w:rFonts w:ascii="Times New Roman" w:hAnsi="Times New Roman"/>
          <w:color w:val="000000" w:themeColor="text1"/>
          <w:sz w:val="24"/>
          <w:szCs w:val="24"/>
        </w:rPr>
        <w:t xml:space="preserve"> для диагностики типа темперамента; </w:t>
      </w:r>
    </w:p>
    <w:p w:rsidR="005C40F7" w:rsidRPr="007825B4" w:rsidRDefault="005C40F7" w:rsidP="005C40F7">
      <w:pPr>
        <w:pStyle w:val="a3"/>
        <w:ind w:right="-1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825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Методика 6.1.  </w:t>
      </w:r>
      <w:proofErr w:type="spellStart"/>
      <w:r w:rsidRPr="007825B4">
        <w:rPr>
          <w:rFonts w:ascii="Times New Roman" w:hAnsi="Times New Roman"/>
          <w:bCs/>
          <w:color w:val="000000" w:themeColor="text1"/>
          <w:sz w:val="24"/>
          <w:szCs w:val="24"/>
        </w:rPr>
        <w:t>Опросник</w:t>
      </w:r>
      <w:proofErr w:type="spellEnd"/>
      <w:r w:rsidRPr="007825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«Оценка  </w:t>
      </w:r>
      <w:proofErr w:type="spellStart"/>
      <w:r w:rsidRPr="007825B4">
        <w:rPr>
          <w:rFonts w:ascii="Times New Roman" w:hAnsi="Times New Roman"/>
          <w:bCs/>
          <w:color w:val="000000" w:themeColor="text1"/>
          <w:sz w:val="24"/>
          <w:szCs w:val="24"/>
        </w:rPr>
        <w:t>здоровьесберегающей</w:t>
      </w:r>
      <w:proofErr w:type="spellEnd"/>
      <w:r w:rsidRPr="007825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среды школы и степени  </w:t>
      </w:r>
      <w:proofErr w:type="spellStart"/>
      <w:r w:rsidRPr="007825B4">
        <w:rPr>
          <w:rFonts w:ascii="Times New Roman" w:hAnsi="Times New Roman"/>
          <w:bCs/>
          <w:color w:val="000000" w:themeColor="text1"/>
          <w:sz w:val="24"/>
          <w:szCs w:val="24"/>
        </w:rPr>
        <w:t>сформированности</w:t>
      </w:r>
      <w:proofErr w:type="spellEnd"/>
      <w:r w:rsidRPr="007825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культуры здорового и безопасного образа жизни </w:t>
      </w:r>
      <w:proofErr w:type="gramStart"/>
      <w:r w:rsidRPr="007825B4">
        <w:rPr>
          <w:rFonts w:ascii="Times New Roman" w:hAnsi="Times New Roman"/>
          <w:bCs/>
          <w:color w:val="000000" w:themeColor="text1"/>
          <w:sz w:val="24"/>
          <w:szCs w:val="24"/>
        </w:rPr>
        <w:t>обучающихся</w:t>
      </w:r>
      <w:proofErr w:type="gramEnd"/>
      <w:r w:rsidRPr="007825B4">
        <w:rPr>
          <w:rFonts w:ascii="Times New Roman" w:hAnsi="Times New Roman"/>
          <w:bCs/>
          <w:color w:val="000000" w:themeColor="text1"/>
          <w:sz w:val="24"/>
          <w:szCs w:val="24"/>
        </w:rPr>
        <w:t>»;</w:t>
      </w:r>
    </w:p>
    <w:p w:rsidR="005C40F7" w:rsidRPr="007825B4" w:rsidRDefault="005C40F7" w:rsidP="005C40F7">
      <w:pPr>
        <w:pStyle w:val="a3"/>
        <w:ind w:right="-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25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Методика 6.2. </w:t>
      </w:r>
      <w:proofErr w:type="spellStart"/>
      <w:r w:rsidRPr="007825B4">
        <w:rPr>
          <w:rFonts w:ascii="Times New Roman" w:hAnsi="Times New Roman"/>
          <w:bCs/>
          <w:color w:val="000000" w:themeColor="text1"/>
          <w:sz w:val="24"/>
          <w:szCs w:val="24"/>
        </w:rPr>
        <w:t>Опросник</w:t>
      </w:r>
      <w:proofErr w:type="spellEnd"/>
      <w:r w:rsidRPr="007825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7825B4">
        <w:rPr>
          <w:rFonts w:ascii="Times New Roman" w:hAnsi="Times New Roman"/>
          <w:color w:val="000000" w:themeColor="text1"/>
          <w:sz w:val="24"/>
          <w:szCs w:val="24"/>
        </w:rPr>
        <w:t>«Оценка психолого-педагогической среды образовательного учреждения».</w:t>
      </w:r>
    </w:p>
    <w:p w:rsidR="005C40F7" w:rsidRPr="007825B4" w:rsidRDefault="005C40F7" w:rsidP="005C40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825B4">
        <w:rPr>
          <w:rFonts w:ascii="Times New Roman" w:hAnsi="Times New Roman" w:cs="Times New Roman"/>
          <w:color w:val="000000" w:themeColor="text1"/>
          <w:sz w:val="24"/>
          <w:szCs w:val="24"/>
        </w:rPr>
        <w:t>Полученные результаты мониторинга представлены далее.</w:t>
      </w:r>
    </w:p>
    <w:p w:rsidR="005C40F7" w:rsidRPr="007825B4" w:rsidRDefault="005C40F7" w:rsidP="005C40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C40F7" w:rsidRPr="007825B4" w:rsidRDefault="005C40F7" w:rsidP="005C40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825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Диаграмма квалиметрии особенностей питания обучающихся</w:t>
      </w:r>
    </w:p>
    <w:p w:rsidR="005C40F7" w:rsidRPr="007825B4" w:rsidRDefault="005C40F7" w:rsidP="005C40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825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МБОУСОШ №2 г. Азова</w:t>
      </w:r>
    </w:p>
    <w:p w:rsidR="005C40F7" w:rsidRPr="007825B4" w:rsidRDefault="005C40F7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825B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61233</wp:posOffset>
            </wp:positionH>
            <wp:positionV relativeFrom="paragraph">
              <wp:posOffset>58420</wp:posOffset>
            </wp:positionV>
            <wp:extent cx="5810250" cy="3076575"/>
            <wp:effectExtent l="0" t="0" r="0" b="0"/>
            <wp:wrapNone/>
            <wp:docPr id="12" name="Рисунок 1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Grp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5C40F7" w:rsidRPr="007825B4" w:rsidRDefault="005C40F7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C40F7" w:rsidRPr="007825B4" w:rsidRDefault="005C40F7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C40F7" w:rsidRPr="007825B4" w:rsidRDefault="005C40F7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C40F7" w:rsidRPr="007825B4" w:rsidRDefault="005C40F7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C40F7" w:rsidRPr="007825B4" w:rsidRDefault="005C40F7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C40F7" w:rsidRPr="007825B4" w:rsidRDefault="005C40F7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C40F7" w:rsidRPr="007825B4" w:rsidRDefault="005C40F7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C40F7" w:rsidRPr="007825B4" w:rsidRDefault="005C40F7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C40F7" w:rsidRPr="007825B4" w:rsidRDefault="005C40F7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C40F7" w:rsidRPr="007825B4" w:rsidRDefault="005C40F7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C40F7" w:rsidRPr="007825B4" w:rsidRDefault="005C40F7" w:rsidP="005C40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825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Диаграмма квалиметрии  организации учебной </w:t>
      </w:r>
      <w:proofErr w:type="spellStart"/>
      <w:r w:rsidRPr="007825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деятельностиобучающихсяМБОУСОШ</w:t>
      </w:r>
      <w:proofErr w:type="spellEnd"/>
      <w:r w:rsidRPr="007825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№2</w:t>
      </w:r>
    </w:p>
    <w:p w:rsidR="005C40F7" w:rsidRPr="007825B4" w:rsidRDefault="005C40F7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C40F7" w:rsidRPr="007825B4" w:rsidRDefault="005C40F7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825B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8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C40F7" w:rsidRPr="007825B4" w:rsidRDefault="005C40F7" w:rsidP="005C40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825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Диаграмма квалиметрии  организации  культурного  досуга  </w:t>
      </w:r>
      <w:proofErr w:type="spellStart"/>
      <w:r w:rsidRPr="007825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обучающихсяМБОУСОШ</w:t>
      </w:r>
      <w:proofErr w:type="spellEnd"/>
      <w:r w:rsidRPr="007825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№2 г. Азова</w:t>
      </w:r>
    </w:p>
    <w:p w:rsidR="005C40F7" w:rsidRPr="007825B4" w:rsidRDefault="005C40F7" w:rsidP="005C40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C40F7" w:rsidRPr="007825B4" w:rsidRDefault="005C40F7" w:rsidP="005C40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825B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5949388" cy="3194612"/>
            <wp:effectExtent l="0" t="0" r="13335" b="25400"/>
            <wp:docPr id="19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C40F7" w:rsidRDefault="005C40F7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76DA9" w:rsidRDefault="00C76DA9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76DA9" w:rsidRDefault="00C76DA9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76DA9" w:rsidRDefault="00C76DA9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C40F7" w:rsidRDefault="005C40F7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C40F7" w:rsidRPr="007825B4" w:rsidRDefault="005C40F7" w:rsidP="005C40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825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Диаграмма оценки психолого-педагогической среды образовательного учреждения</w:t>
      </w:r>
      <w:r w:rsidR="00C76D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825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МБОУСОШ №2 г. Азова</w:t>
      </w:r>
    </w:p>
    <w:p w:rsidR="005C40F7" w:rsidRPr="007825B4" w:rsidRDefault="005C40F7" w:rsidP="005C40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164465</wp:posOffset>
            </wp:positionV>
            <wp:extent cx="6153150" cy="3600450"/>
            <wp:effectExtent l="0" t="0" r="0" b="0"/>
            <wp:wrapNone/>
            <wp:docPr id="20" name="Рисунок 14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Grp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5C40F7" w:rsidRPr="007825B4" w:rsidRDefault="005C40F7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C40F7" w:rsidRPr="007825B4" w:rsidRDefault="005C40F7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C40F7" w:rsidRPr="007825B4" w:rsidRDefault="005C40F7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C40F7" w:rsidRPr="007825B4" w:rsidRDefault="005C40F7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C40F7" w:rsidRPr="007825B4" w:rsidRDefault="005C40F7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C40F7" w:rsidRPr="007825B4" w:rsidRDefault="005C40F7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C40F7" w:rsidRPr="007825B4" w:rsidRDefault="005C40F7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C40F7" w:rsidRPr="007825B4" w:rsidRDefault="005C40F7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C40F7" w:rsidRDefault="005C40F7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57109" w:rsidRDefault="00C57109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57109" w:rsidRDefault="00C57109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57109" w:rsidRPr="007825B4" w:rsidRDefault="00C57109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C40F7" w:rsidRPr="007825B4" w:rsidRDefault="005C40F7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C40F7" w:rsidRPr="007825B4" w:rsidRDefault="005C40F7" w:rsidP="005C40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825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Диаграмма оценки </w:t>
      </w:r>
      <w:proofErr w:type="spellStart"/>
      <w:r w:rsidRPr="007825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здоровьесберегающей</w:t>
      </w:r>
      <w:proofErr w:type="spellEnd"/>
      <w:r w:rsidRPr="007825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среды школы и степени </w:t>
      </w:r>
      <w:proofErr w:type="spellStart"/>
      <w:r w:rsidRPr="007825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сформированности</w:t>
      </w:r>
      <w:proofErr w:type="spellEnd"/>
      <w:r w:rsidRPr="007825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культуры здорового и безопасного образа жизни </w:t>
      </w:r>
      <w:proofErr w:type="spellStart"/>
      <w:r w:rsidRPr="007825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обучающихсяМБОУСОШ</w:t>
      </w:r>
      <w:proofErr w:type="spellEnd"/>
      <w:r w:rsidRPr="007825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№2 г. Азова</w:t>
      </w:r>
    </w:p>
    <w:p w:rsidR="005C40F7" w:rsidRDefault="005C40F7" w:rsidP="005C40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C40F7" w:rsidRPr="007825B4" w:rsidRDefault="005C40F7" w:rsidP="005C40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825B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w:drawing>
          <wp:inline distT="0" distB="0" distL="0" distR="0">
            <wp:extent cx="6134582" cy="3136739"/>
            <wp:effectExtent l="19050" t="0" r="18568" b="6511"/>
            <wp:docPr id="22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40F7" w:rsidRPr="007825B4" w:rsidRDefault="005C40F7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57109" w:rsidRDefault="00C57109" w:rsidP="005C40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57109" w:rsidRDefault="00C57109" w:rsidP="005C40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C40F7" w:rsidRPr="007825B4" w:rsidRDefault="005C40F7" w:rsidP="005C40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825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Диаграмма самооценки проявления вредных привычек</w:t>
      </w:r>
    </w:p>
    <w:p w:rsidR="005C40F7" w:rsidRPr="007825B4" w:rsidRDefault="00C57109" w:rsidP="005C40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825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</w:t>
      </w:r>
      <w:r w:rsidR="005C40F7" w:rsidRPr="007825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бучающихся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5C40F7" w:rsidRPr="007825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МБОУСОШ №2 г. Азова</w:t>
      </w:r>
    </w:p>
    <w:p w:rsidR="005C40F7" w:rsidRPr="007825B4" w:rsidRDefault="005C40F7" w:rsidP="005C40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C40F7" w:rsidRPr="007825B4" w:rsidRDefault="005C40F7" w:rsidP="005C40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825B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914663" cy="3194613"/>
            <wp:effectExtent l="0" t="0" r="10160" b="25400"/>
            <wp:docPr id="23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40F7" w:rsidRPr="007825B4" w:rsidRDefault="005C40F7" w:rsidP="005C40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C40F7" w:rsidRPr="007825B4" w:rsidRDefault="005C40F7" w:rsidP="005C40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825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Диаграмма квалиметрии  организации физической активности</w:t>
      </w:r>
      <w:r w:rsidR="00C571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7825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обучающихся</w:t>
      </w:r>
      <w:proofErr w:type="gramEnd"/>
      <w:r w:rsidR="00C571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825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МБОУСОШ №2</w:t>
      </w:r>
    </w:p>
    <w:p w:rsidR="005C40F7" w:rsidRPr="007825B4" w:rsidRDefault="005C40F7" w:rsidP="005C40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C40F7" w:rsidRPr="007825B4" w:rsidRDefault="005C40F7" w:rsidP="00C571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825B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</w:rPr>
        <w:drawing>
          <wp:inline distT="0" distB="0" distL="0" distR="0">
            <wp:extent cx="5741043" cy="3669175"/>
            <wp:effectExtent l="38100" t="0" r="12065" b="26670"/>
            <wp:docPr id="24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F6211F" w:rsidRDefault="00F6211F"/>
    <w:sectPr w:rsidR="00F6211F" w:rsidSect="00AF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0F7"/>
    <w:rsid w:val="005C40F7"/>
    <w:rsid w:val="00AF723E"/>
    <w:rsid w:val="00C57109"/>
    <w:rsid w:val="00C76DA9"/>
    <w:rsid w:val="00F6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C40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C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5.xml"/><Relationship Id="rId4" Type="http://schemas.openxmlformats.org/officeDocument/2006/relationships/image" Target="media/image1.png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1643700787401556E-2"/>
                  <c:y val="-0.24762435945506844"/>
                </c:manualLayout>
              </c:layout>
              <c:tx>
                <c:rich>
                  <a:bodyPr/>
                  <a:lstStyle/>
                  <a:p>
                    <a:r>
                      <a:rPr lang="en-US" sz="2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46%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7.9549431321084933E-3"/>
                  <c:y val="7.7816901735557803E-2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5.0421952464275277E-2"/>
                  <c:y val="-0.16191187231310963"/>
                </c:manualLayout>
              </c:layout>
              <c:tx>
                <c:rich>
                  <a:bodyPr/>
                  <a:lstStyle/>
                  <a:p>
                    <a:r>
                      <a:rPr lang="en-US" sz="2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39%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2.5104348935549796E-2"/>
                  <c:y val="-8.8847339252608265E-2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удовлетворительная организация учебы</c:v>
                </c:pt>
                <c:pt idx="1">
                  <c:v>неудовлетворительная организация учёбы</c:v>
                </c:pt>
                <c:pt idx="2">
                  <c:v>хорошая организация учебы</c:v>
                </c:pt>
                <c:pt idx="3">
                  <c:v>оптимальная организация учебы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0.46</c:v>
                </c:pt>
                <c:pt idx="1">
                  <c:v>0.1</c:v>
                </c:pt>
                <c:pt idx="2">
                  <c:v>0.39000000000000112</c:v>
                </c:pt>
                <c:pt idx="3">
                  <c:v>5.00000000000001E-2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9.0074183435403965E-2"/>
                  <c:y val="-0.35760748656417946"/>
                </c:manualLayout>
              </c:layout>
              <c:tx>
                <c:rich>
                  <a:bodyPr/>
                  <a:lstStyle/>
                  <a:p>
                    <a:r>
                      <a:rPr lang="en-US" sz="2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54%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2.4077537182852212E-2"/>
                  <c:y val="0.23846370075614878"/>
                </c:manualLayout>
              </c:layout>
              <c:tx>
                <c:rich>
                  <a:bodyPr/>
                  <a:lstStyle/>
                  <a:p>
                    <a:r>
                      <a:rPr lang="en-US" sz="2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30%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3.5170524140858535E-2"/>
                  <c:y val="-0.12427831611475787"/>
                </c:manualLayout>
              </c:layout>
              <c:tx>
                <c:rich>
                  <a:bodyPr/>
                  <a:lstStyle/>
                  <a:p>
                    <a:r>
                      <a:rPr lang="en-US" sz="2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16%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удовлетворительная организация досуга</c:v>
                </c:pt>
                <c:pt idx="1">
                  <c:v>хорошая организация досуга</c:v>
                </c:pt>
                <c:pt idx="2">
                  <c:v>неудовлетворительная организация досуга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0.54</c:v>
                </c:pt>
                <c:pt idx="1">
                  <c:v>0.30000000000000032</c:v>
                </c:pt>
                <c:pt idx="2">
                  <c:v>0.16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8550333176734781E-2"/>
                  <c:y val="-0.18875525382830427"/>
                </c:manualLayout>
              </c:layout>
              <c:tx>
                <c:rich>
                  <a:bodyPr/>
                  <a:lstStyle/>
                  <a:p>
                    <a:r>
                      <a:rPr lang="en-US" sz="2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36%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2.5920103439810591E-2"/>
                  <c:y val="0.1269415860688102"/>
                </c:manualLayout>
              </c:layout>
              <c:tx>
                <c:rich>
                  <a:bodyPr/>
                  <a:lstStyle/>
                  <a:p>
                    <a:r>
                      <a:rPr lang="en-US" sz="2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39%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1.6172658544624557E-2"/>
                  <c:y val="-0.14154605407748702"/>
                </c:manualLayout>
              </c:layout>
              <c:tx>
                <c:rich>
                  <a:bodyPr/>
                  <a:lstStyle/>
                  <a:p>
                    <a:r>
                      <a:rPr lang="en-US" sz="2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22%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1.1254067514298444E-2"/>
                  <c:y val="-9.0379942918377545E-2"/>
                </c:manualLayout>
              </c:layout>
              <c:tx>
                <c:rich>
                  <a:bodyPr/>
                  <a:lstStyle/>
                  <a:p>
                    <a:r>
                      <a:rPr lang="en-US" sz="2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удовлетворительный уровень</c:v>
                </c:pt>
                <c:pt idx="3">
                  <c:v>неудовлетворительный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0.36000000000000032</c:v>
                </c:pt>
                <c:pt idx="1">
                  <c:v>0.39000000000000112</c:v>
                </c:pt>
                <c:pt idx="2">
                  <c:v>0.22</c:v>
                </c:pt>
                <c:pt idx="3">
                  <c:v>3.0000000000000002E-2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295381306503357"/>
          <c:y val="0.2722490715586513"/>
          <c:w val="0.35657298046077696"/>
          <c:h val="0.57731726357453561"/>
        </c:manualLayout>
      </c:layout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3.9761431411530809E-2"/>
          <c:w val="0.63277947825946257"/>
          <c:h val="0.9589903101078568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32"/>
          </c:dPt>
          <c:dPt>
            <c:idx val="2"/>
            <c:explosion val="16"/>
          </c:dPt>
          <c:dLbls>
            <c:dLbl>
              <c:idx val="0"/>
              <c:layout>
                <c:manualLayout>
                  <c:x val="-8.3611681069288124E-2"/>
                  <c:y val="0.20545023763441791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79%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1.3693254595696393E-2"/>
                  <c:y val="-0.11865829059045734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17%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5.0727310968129394E-2"/>
                  <c:y val="-0.15329838074283328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отсутствие проявления вредных привычек</c:v>
                </c:pt>
                <c:pt idx="1">
                  <c:v>умеренное проявление вредных привычек</c:v>
                </c:pt>
                <c:pt idx="2">
                  <c:v>незначительное проявление вредных привычек</c:v>
                </c:pt>
                <c:pt idx="3">
                  <c:v>значительное проявление вредных привычек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0.79</c:v>
                </c:pt>
                <c:pt idx="1">
                  <c:v>3.0000000000000002E-2</c:v>
                </c:pt>
                <c:pt idx="2">
                  <c:v>0.17</c:v>
                </c:pt>
                <c:pt idx="3">
                  <c:v>1.0000000000000005E-2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9623725033239416"/>
          <c:y val="1.9199821699842939E-2"/>
          <c:w val="0.39089762426894553"/>
          <c:h val="0.9808001783001572"/>
        </c:manualLayout>
      </c:layout>
      <c:txPr>
        <a:bodyPr/>
        <a:lstStyle/>
        <a:p>
          <a:pPr>
            <a:defRPr sz="14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0811624298929709E-3"/>
          <c:y val="0"/>
          <c:w val="0.66329398793074767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6"/>
          <c:dLbls>
            <c:dLbl>
              <c:idx val="0"/>
              <c:layout>
                <c:manualLayout>
                  <c:x val="-3.1682159521726587E-2"/>
                  <c:y val="-0.15155339935101284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32%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2.161216827063284E-2"/>
                  <c:y val="0.12825418963706794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34%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2.9011555847185771E-2"/>
                  <c:y val="-0.17657153774907977"/>
                </c:manualLayout>
              </c:layout>
              <c:tx>
                <c:rich>
                  <a:bodyPr/>
                  <a:lstStyle/>
                  <a:p>
                    <a:r>
                      <a:rPr lang="en-US" sz="1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21%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2.3490995917177019E-2"/>
                  <c:y val="-8.8528697995904765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13%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хорошая организация </c:v>
                </c:pt>
                <c:pt idx="1">
                  <c:v>оптимальная организация</c:v>
                </c:pt>
                <c:pt idx="2">
                  <c:v>удовлетворительная организация</c:v>
                </c:pt>
                <c:pt idx="3">
                  <c:v>неудовлетворительная организация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0.32000000000000112</c:v>
                </c:pt>
                <c:pt idx="1">
                  <c:v>0.34</c:v>
                </c:pt>
                <c:pt idx="2">
                  <c:v>0.21000000000000021</c:v>
                </c:pt>
                <c:pt idx="3">
                  <c:v>0.13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джон</cp:lastModifiedBy>
  <cp:revision>4</cp:revision>
  <dcterms:created xsi:type="dcterms:W3CDTF">2018-01-11T12:57:00Z</dcterms:created>
  <dcterms:modified xsi:type="dcterms:W3CDTF">2018-01-13T17:58:00Z</dcterms:modified>
</cp:coreProperties>
</file>